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A89" w14:textId="3AB3F3C2" w:rsidR="00FD382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FD382F">
        <w:rPr>
          <w:color w:val="000000"/>
          <w:sz w:val="28"/>
          <w:szCs w:val="28"/>
        </w:rPr>
        <w:t>项目编号</w:t>
      </w:r>
      <w:r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8D45C0" w:rsidRPr="008D45C0">
        <w:rPr>
          <w:rFonts w:ascii="宋体" w:hAnsi="宋体" w:cs="宋体" w:hint="eastAsia"/>
          <w:color w:val="000000"/>
          <w:kern w:val="0"/>
          <w:sz w:val="28"/>
          <w:szCs w:val="28"/>
        </w:rPr>
        <w:t>ZHB2023001C</w:t>
      </w:r>
    </w:p>
    <w:p w14:paraId="5969E274" w14:textId="4980AD11" w:rsidR="00E1676B" w:rsidRPr="008D45C0" w:rsidRDefault="0069327E" w:rsidP="008D45C0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4F36AF" w:rsidRPr="004F36A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8D45C0" w:rsidRPr="008D45C0">
        <w:rPr>
          <w:rFonts w:ascii="宋体" w:hAnsi="宋体" w:cs="宋体" w:hint="eastAsia"/>
          <w:color w:val="000000"/>
          <w:kern w:val="0"/>
          <w:sz w:val="28"/>
          <w:szCs w:val="28"/>
        </w:rPr>
        <w:t>水仙、无极23年4-12月厂区内装卸搬运服务承包招标</w:t>
      </w:r>
    </w:p>
    <w:p w14:paraId="769CF6BE" w14:textId="2322010A" w:rsidR="0069327E" w:rsidRPr="00E1676B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E1676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中标候选人： </w:t>
      </w:r>
      <w:r w:rsidR="008D45C0">
        <w:rPr>
          <w:rFonts w:ascii="宋体" w:hAnsi="宋体" w:cs="宋体" w:hint="eastAsia"/>
          <w:color w:val="000000"/>
          <w:kern w:val="0"/>
          <w:sz w:val="28"/>
          <w:szCs w:val="28"/>
        </w:rPr>
        <w:t>陈艺聪</w:t>
      </w:r>
    </w:p>
    <w:p w14:paraId="7EB2C397" w14:textId="1992181F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8D45C0"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8D45C0">
        <w:rPr>
          <w:rFonts w:ascii="宋体" w:hAnsi="宋体" w:cs="宋体"/>
          <w:color w:val="000000"/>
          <w:kern w:val="0"/>
          <w:sz w:val="28"/>
          <w:szCs w:val="28"/>
        </w:rPr>
        <w:t>30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sz w:val="28"/>
          <w:szCs w:val="28"/>
        </w:rPr>
        <w:t>年</w:t>
      </w:r>
      <w:r w:rsidR="008D45C0">
        <w:rPr>
          <w:sz w:val="28"/>
          <w:szCs w:val="28"/>
        </w:rPr>
        <w:t>4</w:t>
      </w:r>
      <w:r>
        <w:rPr>
          <w:sz w:val="28"/>
          <w:szCs w:val="28"/>
        </w:rPr>
        <w:t>月</w:t>
      </w:r>
      <w:r w:rsidR="008D45C0">
        <w:rPr>
          <w:sz w:val="28"/>
          <w:szCs w:val="28"/>
        </w:rPr>
        <w:t>1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4E0F5AD4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8D45C0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90E7" w14:textId="77777777" w:rsidR="00C4597D" w:rsidRDefault="00C4597D" w:rsidP="0069327E">
      <w:r>
        <w:separator/>
      </w:r>
    </w:p>
  </w:endnote>
  <w:endnote w:type="continuationSeparator" w:id="0">
    <w:p w14:paraId="7E4F3FB3" w14:textId="77777777" w:rsidR="00C4597D" w:rsidRDefault="00C4597D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7CD5" w14:textId="77777777" w:rsidR="00C4597D" w:rsidRDefault="00C4597D" w:rsidP="0069327E">
      <w:r>
        <w:separator/>
      </w:r>
    </w:p>
  </w:footnote>
  <w:footnote w:type="continuationSeparator" w:id="0">
    <w:p w14:paraId="3C82B951" w14:textId="77777777" w:rsidR="00C4597D" w:rsidRDefault="00C4597D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63CB6"/>
    <w:rsid w:val="00482002"/>
    <w:rsid w:val="004F36AF"/>
    <w:rsid w:val="005372A9"/>
    <w:rsid w:val="0069327E"/>
    <w:rsid w:val="006948BC"/>
    <w:rsid w:val="008626DA"/>
    <w:rsid w:val="008C17B1"/>
    <w:rsid w:val="008D45C0"/>
    <w:rsid w:val="009E4EAA"/>
    <w:rsid w:val="00A65954"/>
    <w:rsid w:val="00C4597D"/>
    <w:rsid w:val="00C92F92"/>
    <w:rsid w:val="00DA0368"/>
    <w:rsid w:val="00E1676B"/>
    <w:rsid w:val="00E74429"/>
    <w:rsid w:val="00ED22DF"/>
    <w:rsid w:val="00F11CD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77261432@qq.com</cp:lastModifiedBy>
  <cp:revision>12</cp:revision>
  <dcterms:created xsi:type="dcterms:W3CDTF">2022-11-01T02:22:00Z</dcterms:created>
  <dcterms:modified xsi:type="dcterms:W3CDTF">2023-03-30T00:24:00Z</dcterms:modified>
</cp:coreProperties>
</file>